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67467">
      <w:pPr>
        <w:spacing w:after="0" w:line="240" w:lineRule="auto"/>
        <w:ind w:firstLine="709"/>
        <w:jc w:val="center"/>
        <w:outlineLvl w:val="0"/>
        <w:rPr>
          <w:rFonts w:ascii="Times New Roman" w:hAnsi="Times New Roman" w:eastAsia="Times New Roman" w:cs="Times New Roman"/>
          <w:b/>
          <w:bCs/>
          <w:kern w:val="36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28"/>
          <w:szCs w:val="28"/>
        </w:rPr>
        <w:t>ПОЛОЖЕНИЕ</w:t>
      </w:r>
    </w:p>
    <w:p w14:paraId="2B2C86F6">
      <w:pPr>
        <w:spacing w:after="0" w:line="240" w:lineRule="auto"/>
        <w:ind w:firstLine="709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о проведении II этапа Республиканского конкурса</w:t>
      </w:r>
    </w:p>
    <w:p w14:paraId="09CE547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научно-исследовательских работ студентов (НИРС)</w:t>
      </w:r>
    </w:p>
    <w:p w14:paraId="003D9447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образовательной программе</w:t>
      </w:r>
    </w:p>
    <w:p w14:paraId="6642427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yellow"/>
        </w:rPr>
        <w:t>6В0410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yellow"/>
          <w:lang w:val="ru-RU"/>
        </w:rPr>
        <w:t>5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/>
        </w:rPr>
        <w:t>-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«Государственное и местное управление»</w:t>
      </w:r>
    </w:p>
    <w:p w14:paraId="16FBAFF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г. Астана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>2026</w:t>
      </w:r>
    </w:p>
    <w:p w14:paraId="1ADE6DD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6F9673F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9EB622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1. ОБЩИЕ ПОЛОЖЕНИЯ</w:t>
      </w:r>
    </w:p>
    <w:p w14:paraId="5622795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1.1 Настоящее Положение разработано в соответствии с Рекомендациями по организации и проведению ежегодного Республиканского конкурса научно-исследовательских работ студентов высших учебных заведений Республики Казахстан Министерства науки и высшего образования Республики Казахстан №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____________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_____________</w:t>
      </w:r>
      <w:r>
        <w:rPr>
          <w:rFonts w:ascii="Times New Roman" w:hAnsi="Times New Roman" w:eastAsia="Times New Roman" w:cs="Times New Roman"/>
          <w:sz w:val="28"/>
          <w:szCs w:val="28"/>
        </w:rPr>
        <w:t>.</w:t>
      </w:r>
    </w:p>
    <w:p w14:paraId="0396F25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1.2 Положение определяет порядок организации и проведения II этапа Республиканского конкурса научно-исследовательских работ студентов (далее — НИРС) по образовательной программе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yellow"/>
        </w:rPr>
        <w:t>6В0410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yellow"/>
          <w:lang w:val="ru-RU"/>
        </w:rPr>
        <w:t>5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— «Государственное и местное управление»</w:t>
      </w:r>
      <w:r>
        <w:rPr>
          <w:rFonts w:ascii="Times New Roman" w:hAnsi="Times New Roman" w:eastAsia="Times New Roman" w:cs="Times New Roman"/>
          <w:sz w:val="28"/>
          <w:szCs w:val="28"/>
        </w:rPr>
        <w:t>, а также правила определения победителей II этапа, направляемых для участия в III этапе Республиканского конкурса НИРС.</w:t>
      </w:r>
    </w:p>
    <w:p w14:paraId="50DB389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1.3 Методическое, организационное и информационное сопровождение II этапа Республиканского конкурса НИРС осуществляется рабочей группой организационного комитета НИРС Учреждения образования «Университет «Туран-Астана».</w:t>
      </w:r>
    </w:p>
    <w:p w14:paraId="0515C10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E9C20A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2. ЦЕЛИ II ЭТАПА РЕСПУБЛИКАНСКОГО КОНКУРСА НИРС</w:t>
      </w:r>
    </w:p>
    <w:p w14:paraId="369CCBE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Целями II этапа Конкурса являются:</w:t>
      </w:r>
    </w:p>
    <w:p w14:paraId="3848449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2.1 развитие творческого и исследовательского потенциала студентов, повышение уровня их профессиональной подготовки в сфере государственного и местного управления;</w:t>
      </w:r>
    </w:p>
    <w:p w14:paraId="477B907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2.2 выявление наиболее талантливых и перспективных обучающихся;</w:t>
      </w:r>
    </w:p>
    <w:p w14:paraId="6A61457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2.3 стимулирование научно-исследовательской активности студентов;</w:t>
      </w:r>
    </w:p>
    <w:p w14:paraId="30B3078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2.4 содействие развитию интеллектуального потенциала Республики Казахстан.</w:t>
      </w:r>
    </w:p>
    <w:p w14:paraId="5F3588D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3CF40B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3. ЗАДАЧИ II ЭТАПА РЕСПУБЛИКАНСКОГО КОНКУРСА НИРС</w:t>
      </w:r>
    </w:p>
    <w:p w14:paraId="60F1ED6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3.1 повышение уровня профессиональных и теоретических знаний студентов;</w:t>
      </w:r>
    </w:p>
    <w:p w14:paraId="3C2CF16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3.2 развитие научно-исследовательской и проектной деятельности обучающихся;</w:t>
      </w:r>
    </w:p>
    <w:p w14:paraId="2336526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3.3 раскрытие научного и профессионального потенциала студентов;</w:t>
      </w:r>
    </w:p>
    <w:p w14:paraId="76047D5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3.4 совершенствование навыков самостоятельной исследовательской работы.</w:t>
      </w:r>
    </w:p>
    <w:p w14:paraId="2549E58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EF71B0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4. УЧАСТНИКИ II ЭТАПА РЕСПУБЛИКАНСКОГО КОНКУРСА НИРС</w:t>
      </w:r>
    </w:p>
    <w:p w14:paraId="08D48AC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4.1 Участниками конкурса являются студенты высших учебных заведений Республики Казахстан, обучающиеся по образовательной программе </w:t>
      </w:r>
      <w:r>
        <w:rPr>
          <w:rFonts w:ascii="Times New Roman" w:hAnsi="Times New Roman" w:eastAsia="Times New Roman" w:cs="Times New Roman"/>
          <w:sz w:val="28"/>
          <w:szCs w:val="28"/>
          <w:highlight w:val="yellow"/>
        </w:rPr>
        <w:t>6В0410</w:t>
      </w:r>
      <w:r>
        <w:rPr>
          <w:rFonts w:ascii="Times New Roman" w:hAnsi="Times New Roman" w:eastAsia="Times New Roman" w:cs="Times New Roman"/>
          <w:sz w:val="28"/>
          <w:szCs w:val="28"/>
          <w:highlight w:val="yellow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— «Государственное и местное управление», занявшие первые места по итогам I этапа НИРС.</w:t>
      </w:r>
    </w:p>
    <w:p w14:paraId="5CDBABD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4.2 Право выдвижения конкурсантов предоставляется ректору и ученому совету вуза, в котором обучается студент-победитель I этапа конкурса.</w:t>
      </w:r>
    </w:p>
    <w:p w14:paraId="725CF50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331132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5. ПОРЯДОК ОРГАНИЗАЦИИ И ПРОВЕДЕНИЯ II ЭТАПА КОНКУРСА НИРС</w:t>
      </w:r>
    </w:p>
    <w:p w14:paraId="3CB820D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5.1 Базовым вузом по проведению II этапа Республиканского конкурса НИРС по образовательной программе </w:t>
      </w:r>
      <w:r>
        <w:rPr>
          <w:rFonts w:ascii="Times New Roman" w:hAnsi="Times New Roman" w:eastAsia="Times New Roman" w:cs="Times New Roman"/>
          <w:sz w:val="28"/>
          <w:szCs w:val="28"/>
          <w:highlight w:val="yellow"/>
        </w:rPr>
        <w:t>6В0410</w:t>
      </w:r>
      <w:r>
        <w:rPr>
          <w:rFonts w:ascii="Times New Roman" w:hAnsi="Times New Roman" w:eastAsia="Times New Roman" w:cs="Times New Roman"/>
          <w:sz w:val="28"/>
          <w:szCs w:val="28"/>
          <w:highlight w:val="yellow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— «Государственное и местное управление» является Учреждение образования «Университет «Туран-Астана».</w:t>
      </w:r>
    </w:p>
    <w:p w14:paraId="7ED002E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Общее методическое, организационное и информационное обеспечение осуществляет Организационный комитет (Оргкомитет), состав которого утверждается приказом ректора Университета.</w:t>
      </w:r>
    </w:p>
    <w:p w14:paraId="0D0C90B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Оргкомитет рассматривает спорные вопросы, возникающие в ходе конкурса, и по итогам проведения направляет отчет в Министерство науки и высшего образования Республики Казахстан.</w:t>
      </w:r>
    </w:p>
    <w:p w14:paraId="3617AD7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Рабочие языки конкурса: казахский, русский и английский.</w:t>
      </w:r>
    </w:p>
    <w:p w14:paraId="4565AB6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итогам I этапа конкурсная комиссия вуза направляет лучшие научные работы студентов для участия во II этапе.</w:t>
      </w:r>
    </w:p>
    <w:p w14:paraId="686D891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D30850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5.2 Высшее учебное заведение направляет в базовый вуз следующие материалы:</w:t>
      </w:r>
    </w:p>
    <w:p w14:paraId="596B4EC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научно-исследовательскую работу;</w:t>
      </w:r>
    </w:p>
    <w:p w14:paraId="04BB0DB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аннотацию;</w:t>
      </w:r>
    </w:p>
    <w:p w14:paraId="1709763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отзыв научного руководителя о степени самостоятельности работы;</w:t>
      </w:r>
    </w:p>
    <w:p w14:paraId="61086B2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сведения об авторе и научном руководителе;</w:t>
      </w:r>
    </w:p>
    <w:p w14:paraId="1B029A5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сопроводительное письмо за подписью ректора (проректора) либо решение ученого совета о выдвижении работы.</w:t>
      </w:r>
    </w:p>
    <w:p w14:paraId="4DE7F52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Дополнительно могут прилагаться акты внедрения, патенты, публикации.</w:t>
      </w:r>
    </w:p>
    <w:p w14:paraId="56B4316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9D7452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5.3 Сведения об авторе и научном руководителе представляются в отдельном запечатанном пакете.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При коллективной работе указывается вклад каждого автора.</w:t>
      </w:r>
    </w:p>
    <w:p w14:paraId="3283FC9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C7E4BD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5.4 Работы, оформленные с нарушением требований настоящего Положения, могут быть отклонены конкурсной комиссией с указанием причин.</w:t>
      </w:r>
    </w:p>
    <w:p w14:paraId="6430D4F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06701B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5.5 Представленные научные работы возврату не подлежат.</w:t>
      </w:r>
    </w:p>
    <w:p w14:paraId="4D11E59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5.6 Оргкомитет обеспечивает единые критерии оценки конкурсных работ.</w:t>
      </w:r>
    </w:p>
    <w:p w14:paraId="42A21A7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FDD1E3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5.7 Заявка может быть отклонена при:</w:t>
      </w:r>
    </w:p>
    <w:p w14:paraId="40DC200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несвоевременной подаче;</w:t>
      </w:r>
    </w:p>
    <w:p w14:paraId="57C5B1C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несоответствии требованиям оформления и содержания.</w:t>
      </w:r>
    </w:p>
    <w:p w14:paraId="5641846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A80E88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5.8 Срок представления работ устанавливается Оргкомитетом ежегодно.</w:t>
      </w:r>
    </w:p>
    <w:p w14:paraId="6578A0BC">
      <w:pPr>
        <w:spacing w:after="0" w:line="240" w:lineRule="auto"/>
        <w:ind w:firstLine="709"/>
        <w:jc w:val="both"/>
        <w:rPr>
          <w:rFonts w:ascii="SimSun" w:hAnsi="SimSun" w:eastAsia="SimSun" w:cs="SimSun"/>
          <w:sz w:val="24"/>
          <w:szCs w:val="24"/>
        </w:rPr>
      </w:pPr>
    </w:p>
    <w:p w14:paraId="20DA5CC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00FF"/>
          <w:sz w:val="28"/>
          <w:szCs w:val="28"/>
          <w:lang w:val="ru-RU"/>
        </w:rPr>
        <w:t xml:space="preserve">5.9 </w:t>
      </w: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 xml:space="preserve">Срок представления конкурсных работ для участия во II этапе конкурса — до </w:t>
      </w:r>
      <w:r>
        <w:rPr>
          <w:rFonts w:hint="default" w:ascii="Times New Roman" w:hAnsi="Times New Roman" w:eastAsia="Times New Roman" w:cs="Times New Roman"/>
          <w:color w:val="0000FF"/>
          <w:sz w:val="28"/>
          <w:szCs w:val="28"/>
          <w:lang w:val="ru-RU"/>
        </w:rPr>
        <w:t>7</w:t>
      </w: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 xml:space="preserve"> апреля 2026 года.</w:t>
      </w:r>
    </w:p>
    <w:p w14:paraId="2E64D0E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CAF8D5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6. КОНКУРСНАЯ КОМИССИЯ II ЭТАПА НИРС</w:t>
      </w:r>
    </w:p>
    <w:p w14:paraId="25CEA89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6.1 Для обеспечения объективной оценки формируется конкурсная комиссия и избирается председатель.</w:t>
      </w:r>
    </w:p>
    <w:p w14:paraId="0425615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6.2 В состав комиссии входят представители профессорско-преподавательского состава и специалисты практической сферы государственного управления.</w:t>
      </w:r>
    </w:p>
    <w:p w14:paraId="29136BC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6.3 Комиссия рекомендует к награждению:</w:t>
      </w:r>
    </w:p>
    <w:p w14:paraId="691B1EE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I место — диплом I степени (не более одной работы);</w:t>
      </w:r>
    </w:p>
    <w:p w14:paraId="507CE9F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II место — диплом II степени (не более двух работ);</w:t>
      </w:r>
    </w:p>
    <w:p w14:paraId="632994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III место — диплом III степени (не более трех работ).</w:t>
      </w:r>
    </w:p>
    <w:p w14:paraId="4D44531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135971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6.4 Решения принимаются открытым голосованием при наличии не менее 2/3 состава комиссии. При равенстве голосов решающим является голос председателя.</w:t>
      </w:r>
    </w:p>
    <w:p w14:paraId="0FF31EF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CF86F2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6.5 Материалы победителей направляются в Министерство науки и высшего образования Республики Казахстан.</w:t>
      </w:r>
    </w:p>
    <w:p w14:paraId="61CD218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58D1E2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6.6 В Министерство представляются:</w:t>
      </w:r>
    </w:p>
    <w:p w14:paraId="61C98DC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рецензии сторонних организаций;</w:t>
      </w:r>
    </w:p>
    <w:p w14:paraId="0C5141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аналитический обзор конкурсных работ;</w:t>
      </w:r>
    </w:p>
    <w:p w14:paraId="2459BAE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протокол конкурсной комиссии.</w:t>
      </w:r>
    </w:p>
    <w:p w14:paraId="2164A33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CD6204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6.7 Функции комиссии ограничиваются оценкой конкурсных работ. По завершении конкурса комиссия вправе представить предложения по совершенствованию процедуры проведения НИРС.</w:t>
      </w:r>
    </w:p>
    <w:p w14:paraId="2DA1904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A289B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7. ПОБЕДИТЕЛИ II ЭТАПА НИРС</w:t>
      </w:r>
    </w:p>
    <w:p w14:paraId="72E847C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7.1 Победителем признается работа, набравшая наибольшее количество баллов.</w:t>
      </w:r>
    </w:p>
    <w:p w14:paraId="5416B5F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7.2 Итоги утверждаются Оргкомитетом на основании решения конкурсной комиссии.</w:t>
      </w:r>
    </w:p>
    <w:p w14:paraId="0650D8A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7.3 Победители награждаются дипломами I, II и III степени.</w:t>
      </w:r>
    </w:p>
    <w:p w14:paraId="6694FA9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C5DCD2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8. ТРЕБОВАНИЯ К АКАДЕМИЧЕСКОЙ ЧЕСТНОСТИ</w:t>
      </w:r>
    </w:p>
    <w:p w14:paraId="3594B67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Участники обязаны соблюдать академическую честность и не допускать:</w:t>
      </w:r>
    </w:p>
    <w:p w14:paraId="692A27C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а) использования чужих текстов без указания источника;</w:t>
      </w:r>
    </w:p>
    <w:p w14:paraId="251CDDE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б) чрезмерных заимствований, ставящих под сомнение самостоятельность работы;</w:t>
      </w:r>
    </w:p>
    <w:p w14:paraId="4077995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в) перефразирования без корректного цитирования;</w:t>
      </w:r>
    </w:p>
    <w:p w14:paraId="25282CB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г) применения технических средств сокрытия заимствований.</w:t>
      </w:r>
    </w:p>
    <w:p w14:paraId="114891F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91B65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Работы, содержащие признаки плагиата или нарушений академической честности, к рассмотрению не допускаются.</w:t>
      </w:r>
    </w:p>
    <w:p w14:paraId="29CABE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</w:p>
    <w:p w14:paraId="2814ABF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9. ПОРЯДОК ПРЕДОСТАВЛЕНИЯ ДОКУМЕНТОВ</w:t>
      </w:r>
    </w:p>
    <w:p w14:paraId="3C16DB0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Для регистрации предоставляются:</w:t>
      </w:r>
    </w:p>
    <w:p w14:paraId="53DD9EB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заявление участника (Приложение А);</w:t>
      </w:r>
    </w:p>
    <w:p w14:paraId="781FBAE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протокол I этапа (Приложение Б);</w:t>
      </w:r>
    </w:p>
    <w:p w14:paraId="7451647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заявка участника (Приложение В);</w:t>
      </w:r>
    </w:p>
    <w:p w14:paraId="7188068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аннотация (Приложение Г);</w:t>
      </w:r>
    </w:p>
    <w:p w14:paraId="0A6ED5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отзыв научного руководителя;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 </w:t>
      </w:r>
    </w:p>
    <w:p w14:paraId="58FB26E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научная работа, оформленная согласно требованиям (Приложение Д).</w:t>
      </w:r>
    </w:p>
    <w:p w14:paraId="36110E0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Документы направляются в Оргкомитет Университета «Туран-Астана» в электронном виде и на бумажном носителе.</w:t>
      </w:r>
    </w:p>
    <w:p w14:paraId="47547B7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F1131F1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КРИТЕРИИ ОЦЕНКИ</w:t>
      </w:r>
    </w:p>
    <w:p w14:paraId="2E5E9FC0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350" w:firstLineChars="125"/>
        <w:jc w:val="both"/>
        <w:textAlignment w:val="auto"/>
        <w:rPr>
          <w:rFonts w:ascii="Times New Roman" w:hAnsi="Times New Roman" w:eastAsia="Times New Roman" w:cs="Times New Roman"/>
          <w:b w:val="0"/>
          <w:bCs w:val="0"/>
          <w:color w:val="0000FF"/>
          <w:sz w:val="28"/>
          <w:szCs w:val="28"/>
          <w:lang w:eastAsia="en-US" w:bidi="ar-SA"/>
        </w:rPr>
      </w:pPr>
      <w:r>
        <w:rPr>
          <w:rFonts w:ascii="Times New Roman" w:hAnsi="Times New Roman" w:eastAsia="Times New Roman" w:cs="Times New Roman"/>
          <w:b w:val="0"/>
          <w:bCs w:val="0"/>
          <w:color w:val="0000FF"/>
          <w:sz w:val="28"/>
          <w:szCs w:val="28"/>
          <w:lang w:eastAsia="en-US" w:bidi="ar-SA"/>
        </w:rPr>
        <w:t>Оценка научно-исследовательских работ проводится конкурсной комиссией по следующим критериям:</w:t>
      </w:r>
    </w:p>
    <w:tbl>
      <w:tblPr>
        <w:tblStyle w:val="10"/>
        <w:tblW w:w="9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6779"/>
        <w:gridCol w:w="1642"/>
      </w:tblGrid>
      <w:tr w14:paraId="258BD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</w:tcPr>
          <w:p w14:paraId="21B596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14:paraId="4E5711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Критерий</w:t>
            </w:r>
          </w:p>
        </w:tc>
        <w:tc>
          <w:tcPr>
            <w:tcW w:w="0" w:type="auto"/>
          </w:tcPr>
          <w:p w14:paraId="7D439A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</w:tr>
      <w:tr w14:paraId="6A741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</w:tcPr>
          <w:p w14:paraId="007953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49957C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Соответствие теме и ОП</w:t>
            </w:r>
          </w:p>
        </w:tc>
        <w:tc>
          <w:tcPr>
            <w:tcW w:w="0" w:type="auto"/>
          </w:tcPr>
          <w:p w14:paraId="06E06A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15</w:t>
            </w:r>
          </w:p>
        </w:tc>
      </w:tr>
      <w:tr w14:paraId="366B0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</w:tcPr>
          <w:p w14:paraId="01FDFA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077BFC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Актуальность исследования</w:t>
            </w:r>
          </w:p>
        </w:tc>
        <w:tc>
          <w:tcPr>
            <w:tcW w:w="0" w:type="auto"/>
          </w:tcPr>
          <w:p w14:paraId="3A99B9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15</w:t>
            </w:r>
          </w:p>
        </w:tc>
      </w:tr>
      <w:tr w14:paraId="76209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</w:tcPr>
          <w:p w14:paraId="421D9D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052DFA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Методологическая обоснованность</w:t>
            </w:r>
          </w:p>
        </w:tc>
        <w:tc>
          <w:tcPr>
            <w:tcW w:w="0" w:type="auto"/>
          </w:tcPr>
          <w:p w14:paraId="4FE743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15</w:t>
            </w:r>
          </w:p>
        </w:tc>
      </w:tr>
      <w:tr w14:paraId="3640C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</w:tcPr>
          <w:p w14:paraId="5CA552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D54D9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Логичность и научный стиль</w:t>
            </w:r>
          </w:p>
        </w:tc>
        <w:tc>
          <w:tcPr>
            <w:tcW w:w="0" w:type="auto"/>
          </w:tcPr>
          <w:p w14:paraId="4B3473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</w:t>
            </w:r>
          </w:p>
        </w:tc>
      </w:tr>
      <w:tr w14:paraId="1A3DD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</w:tcPr>
          <w:p w14:paraId="6DC526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3F70D1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Оригинальность идей</w:t>
            </w:r>
          </w:p>
        </w:tc>
        <w:tc>
          <w:tcPr>
            <w:tcW w:w="0" w:type="auto"/>
          </w:tcPr>
          <w:p w14:paraId="6616F8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</w:t>
            </w:r>
          </w:p>
        </w:tc>
      </w:tr>
      <w:tr w14:paraId="5DD5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</w:tcPr>
          <w:p w14:paraId="50EEE2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7765C1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Практическая значимость</w:t>
            </w:r>
          </w:p>
        </w:tc>
        <w:tc>
          <w:tcPr>
            <w:tcW w:w="0" w:type="auto"/>
          </w:tcPr>
          <w:p w14:paraId="15C266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15</w:t>
            </w:r>
          </w:p>
        </w:tc>
      </w:tr>
      <w:tr w14:paraId="4523E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</w:tcPr>
          <w:p w14:paraId="6B7BE6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B4D4F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14:paraId="2FED7E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</w:tbl>
    <w:p w14:paraId="0F4A5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350" w:firstLineChars="125"/>
        <w:jc w:val="both"/>
        <w:textAlignment w:val="auto"/>
        <w:rPr>
          <w:rFonts w:ascii="Times New Roman" w:hAnsi="Times New Roman" w:eastAsia="Times New Roman" w:cs="Times New Roman"/>
          <w:sz w:val="28"/>
          <w:szCs w:val="28"/>
        </w:rPr>
      </w:pPr>
      <w:bookmarkStart w:id="0" w:name="_GoBack"/>
      <w:bookmarkEnd w:id="0"/>
    </w:p>
    <w:p w14:paraId="654A79F1">
      <w:pPr>
        <w:pStyle w:val="9"/>
        <w:keepNext w:val="0"/>
        <w:keepLines w:val="0"/>
        <w:pageBreakBefore w:val="0"/>
        <w:widowControl/>
        <w:suppressLineNumbers w:val="0"/>
        <w:tabs>
          <w:tab w:val="left" w:pos="660"/>
          <w:tab w:val="left" w:pos="880"/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firstLine="350" w:firstLineChars="125"/>
        <w:jc w:val="both"/>
        <w:textAlignment w:val="auto"/>
        <w:rPr>
          <w:rFonts w:ascii="Times New Roman" w:hAnsi="Times New Roman" w:eastAsia="Times New Roman" w:cs="Times New Roman"/>
          <w:b/>
          <w:bCs/>
          <w:color w:val="0000FF"/>
          <w:sz w:val="28"/>
          <w:szCs w:val="28"/>
          <w:lang w:eastAsia="en-US" w:bidi="ar-SA"/>
        </w:rPr>
      </w:pPr>
      <w:r>
        <w:rPr>
          <w:rFonts w:ascii="Times New Roman" w:hAnsi="Times New Roman" w:eastAsia="Times New Roman" w:cs="Times New Roman"/>
          <w:b/>
          <w:bCs/>
          <w:color w:val="0000FF"/>
          <w:sz w:val="28"/>
          <w:szCs w:val="28"/>
          <w:lang w:eastAsia="en-US" w:bidi="ar-SA"/>
        </w:rPr>
        <w:t>11. РЕКОМЕНДУЕМЫЕ НАПРАВЛЕНИЯ НАУЧНО-ИССЛЕДОВАТЕЛЬСКИХ РАБОТ</w:t>
      </w:r>
    </w:p>
    <w:p w14:paraId="27FE3405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350" w:firstLineChars="125"/>
        <w:jc w:val="both"/>
        <w:textAlignment w:val="auto"/>
        <w:rPr>
          <w:b w:val="0"/>
          <w:bCs w:val="0"/>
          <w:color w:val="0000FF"/>
          <w:sz w:val="28"/>
          <w:szCs w:val="28"/>
        </w:rPr>
      </w:pPr>
      <w:r>
        <w:rPr>
          <w:b w:val="0"/>
          <w:bCs w:val="0"/>
          <w:color w:val="0000FF"/>
          <w:sz w:val="28"/>
          <w:szCs w:val="28"/>
        </w:rPr>
        <w:t xml:space="preserve">Научно-исследовательские работы студентов, представляемые на конкурс, должны соответствовать образовательной программе </w:t>
      </w:r>
      <w:r>
        <w:rPr>
          <w:rStyle w:val="8"/>
          <w:b w:val="0"/>
          <w:bCs w:val="0"/>
          <w:color w:val="0000FF"/>
          <w:sz w:val="28"/>
          <w:szCs w:val="28"/>
        </w:rPr>
        <w:t>6В04105</w:t>
      </w:r>
      <w:r>
        <w:rPr>
          <w:rStyle w:val="8"/>
          <w:rFonts w:hint="default"/>
          <w:b w:val="0"/>
          <w:bCs w:val="0"/>
          <w:color w:val="0000FF"/>
          <w:sz w:val="28"/>
          <w:szCs w:val="28"/>
          <w:lang w:val="ru-RU"/>
        </w:rPr>
        <w:t>- «Государственное и местное управление»</w:t>
      </w:r>
      <w:r>
        <w:rPr>
          <w:b w:val="0"/>
          <w:bCs w:val="0"/>
          <w:color w:val="0000FF"/>
          <w:sz w:val="28"/>
          <w:szCs w:val="28"/>
        </w:rPr>
        <w:t xml:space="preserve"> и могут выполняться по следующим направлениям:</w:t>
      </w:r>
    </w:p>
    <w:p w14:paraId="07D2B96C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b w:val="0"/>
          <w:bCs w:val="0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FF"/>
          <w:sz w:val="28"/>
          <w:szCs w:val="28"/>
        </w:rPr>
        <w:t>Современные тенденции развития системы государственного управления в Республике Казахстан.</w:t>
      </w:r>
    </w:p>
    <w:p w14:paraId="33C30838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b w:val="0"/>
          <w:bCs w:val="0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FF"/>
          <w:sz w:val="28"/>
          <w:szCs w:val="28"/>
        </w:rPr>
        <w:t>Цифровизация государственного управления и развитие электронного правительства.</w:t>
      </w:r>
    </w:p>
    <w:p w14:paraId="17D46116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b w:val="0"/>
          <w:bCs w:val="0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FF"/>
          <w:sz w:val="28"/>
          <w:szCs w:val="28"/>
        </w:rPr>
        <w:t>Совершенствование системы местного государственного управления и местного самоуправления.</w:t>
      </w:r>
    </w:p>
    <w:p w14:paraId="4F768340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FF"/>
          <w:sz w:val="28"/>
          <w:szCs w:val="28"/>
        </w:rPr>
        <w:t>Регион</w:t>
      </w: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альная политика и социально-экономическое развитие территорий.</w:t>
      </w:r>
    </w:p>
    <w:p w14:paraId="79A586FE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Стратегическое и программное планирование в системе государственного управления.</w:t>
      </w:r>
    </w:p>
    <w:p w14:paraId="7C898BC5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Оценка эффективности государственных программ и проектов.</w:t>
      </w:r>
    </w:p>
    <w:p w14:paraId="039BD518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Развитие системы государственных услуг и повышение их качества.</w:t>
      </w:r>
    </w:p>
    <w:p w14:paraId="5352C74A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Антикоррупционная политика и механизмы обеспечения прозрачности государственного управления.</w:t>
      </w:r>
    </w:p>
    <w:p w14:paraId="45B9673D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Государственное регулирование социально-экономических процессов.</w:t>
      </w:r>
    </w:p>
    <w:p w14:paraId="1A3A04EF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Управление устойчивым развитием регионов.</w:t>
      </w:r>
    </w:p>
    <w:p w14:paraId="26FE3533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Взаимодействие государства, бизнеса и общества в системе публичного управления.</w:t>
      </w:r>
    </w:p>
    <w:p w14:paraId="44C17F65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Инновационные методы управления в государственном секторе.</w:t>
      </w:r>
    </w:p>
    <w:p w14:paraId="35889BBD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Развитие человеческого капитала в системе государственного управления.</w:t>
      </w:r>
    </w:p>
    <w:p w14:paraId="2A61A675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Цифровые технологии и аналитические инструменты в публичном управлении.</w:t>
      </w:r>
    </w:p>
    <w:p w14:paraId="165C7528"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Совершенствование механизмов стратегического развития регионов Республики Казахстан.</w:t>
      </w:r>
    </w:p>
    <w:p w14:paraId="763772B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350" w:firstLineChars="125"/>
        <w:jc w:val="both"/>
        <w:textAlignment w:val="auto"/>
        <w:rPr>
          <w:color w:val="0000FF"/>
          <w:sz w:val="28"/>
          <w:szCs w:val="28"/>
        </w:rPr>
      </w:pPr>
      <w:r>
        <w:rPr>
          <w:rStyle w:val="7"/>
          <w:color w:val="0000FF"/>
          <w:sz w:val="28"/>
          <w:szCs w:val="28"/>
        </w:rPr>
        <w:t>Тематика научно-исследовательских работ может быть уточнена в рамках указанных направлений.</w:t>
      </w:r>
    </w:p>
    <w:p w14:paraId="1D33C7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firstLine="350" w:firstLineChars="125"/>
        <w:jc w:val="both"/>
        <w:textAlignment w:val="auto"/>
        <w:rPr>
          <w:rFonts w:ascii="Times New Roman" w:hAnsi="Times New Roman" w:eastAsia="Times New Roman" w:cs="Times New Roman"/>
          <w:color w:val="0000FF"/>
          <w:sz w:val="28"/>
          <w:szCs w:val="28"/>
        </w:rPr>
        <w:sectPr>
          <w:pgSz w:w="11906" w:h="16838"/>
          <w:pgMar w:top="1138" w:right="562" w:bottom="1138" w:left="1699" w:header="706" w:footer="706" w:gutter="0"/>
          <w:paperSrc w:first="7" w:other="7"/>
          <w:cols w:space="708" w:num="1"/>
          <w:docGrid w:linePitch="360" w:charSpace="0"/>
        </w:sectPr>
      </w:pPr>
    </w:p>
    <w:p w14:paraId="271106F7">
      <w:pPr>
        <w:spacing w:after="0" w:line="240" w:lineRule="auto"/>
        <w:ind w:firstLine="709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Приложение А </w:t>
      </w:r>
    </w:p>
    <w:p w14:paraId="5344EA4D">
      <w:pPr>
        <w:spacing w:after="0" w:line="240" w:lineRule="auto"/>
        <w:ind w:firstLine="709"/>
        <w:jc w:val="right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Ректору Университета «Туран</w:t>
      </w:r>
      <w:r>
        <w:rPr>
          <w:rFonts w:hint="default" w:ascii="Times New Roman" w:hAnsi="Times New Roman" w:eastAsia="Times New Roman" w:cs="Times New Roman"/>
          <w:color w:val="0000FF"/>
          <w:sz w:val="28"/>
          <w:szCs w:val="28"/>
          <w:lang w:val="ru-RU"/>
        </w:rPr>
        <w:t>-Астана</w:t>
      </w: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 xml:space="preserve">» </w:t>
      </w:r>
    </w:p>
    <w:p w14:paraId="15DD6B22">
      <w:pPr>
        <w:spacing w:after="0" w:line="240" w:lineRule="auto"/>
        <w:ind w:firstLine="709"/>
        <w:jc w:val="right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  <w:lang w:val="ru-RU"/>
        </w:rPr>
        <w:t>к</w:t>
      </w: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 xml:space="preserve">.э.н., профессору </w:t>
      </w:r>
      <w:r>
        <w:rPr>
          <w:rFonts w:ascii="Times New Roman" w:hAnsi="Times New Roman" w:cs="Times New Roman"/>
          <w:color w:val="0000FF"/>
          <w:sz w:val="28"/>
          <w:szCs w:val="28"/>
        </w:rPr>
        <w:t>Джапаров</w:t>
      </w:r>
      <w:r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ой </w:t>
      </w:r>
      <w:r>
        <w:rPr>
          <w:rFonts w:ascii="Times New Roman" w:hAnsi="Times New Roman" w:cs="Times New Roman"/>
          <w:color w:val="0000FF"/>
          <w:sz w:val="28"/>
          <w:szCs w:val="28"/>
        </w:rPr>
        <w:t>Г.А</w:t>
      </w: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 xml:space="preserve">. </w:t>
      </w:r>
    </w:p>
    <w:p w14:paraId="6A63C50D">
      <w:pPr>
        <w:spacing w:after="0" w:line="240" w:lineRule="auto"/>
        <w:ind w:firstLine="709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От ________________________ </w:t>
      </w:r>
    </w:p>
    <w:p w14:paraId="108B6B6D">
      <w:pPr>
        <w:spacing w:after="0" w:line="240" w:lineRule="auto"/>
        <w:ind w:firstLine="709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ФИО участника, наименование ВУЗа </w:t>
      </w:r>
    </w:p>
    <w:p w14:paraId="4FA4F70F">
      <w:pPr>
        <w:spacing w:after="0" w:line="240" w:lineRule="auto"/>
        <w:ind w:firstLine="709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___________________________ </w:t>
      </w:r>
    </w:p>
    <w:p w14:paraId="32ADA3B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41C84A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AB7E47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969DB9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D0C4B4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A46C5A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6A6D8B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Заявление</w:t>
      </w:r>
    </w:p>
    <w:p w14:paraId="38DB287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ACCB24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Прошу допустить меня к участию во II этапе Республиканского конкурса научно-исследовательских работ студентов.</w:t>
      </w:r>
    </w:p>
    <w:p w14:paraId="4BF53E0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FF"/>
          <w:sz w:val="28"/>
          <w:szCs w:val="28"/>
        </w:rPr>
      </w:pPr>
    </w:p>
    <w:p w14:paraId="158E767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239AE4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18312F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1C39D1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480353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8FC448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Подпись, дата </w:t>
      </w:r>
    </w:p>
    <w:p w14:paraId="025A104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  <w:sectPr>
          <w:pgSz w:w="11906" w:h="16838"/>
          <w:pgMar w:top="1138" w:right="562" w:bottom="1138" w:left="1699" w:header="706" w:footer="706" w:gutter="0"/>
          <w:paperSrc w:first="7" w:other="7"/>
          <w:cols w:space="708" w:num="1"/>
          <w:docGrid w:linePitch="360" w:charSpace="0"/>
        </w:sectPr>
      </w:pPr>
    </w:p>
    <w:p w14:paraId="00DDAD03">
      <w:pPr>
        <w:spacing w:after="0" w:line="240" w:lineRule="auto"/>
        <w:ind w:firstLine="709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Приложение Б </w:t>
      </w:r>
    </w:p>
    <w:p w14:paraId="56BF559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534307F5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ПРОТОКОЛ</w:t>
      </w:r>
    </w:p>
    <w:p w14:paraId="4D9520D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конкурсной комиссии I этапа (внутривузовского) НИРС </w:t>
      </w:r>
    </w:p>
    <w:p w14:paraId="6D1AA1F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___________________вуза по разделу</w:t>
      </w:r>
      <w:r>
        <w:rPr>
          <w:rFonts w:ascii="Times New Roman" w:hAnsi="Times New Roman" w:eastAsia="Times New Roman" w:cs="Times New Roman"/>
          <w:sz w:val="28"/>
          <w:szCs w:val="28"/>
        </w:rPr>
        <w:t>______________________</w:t>
      </w:r>
    </w:p>
    <w:p w14:paraId="3EEFC1D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1C3645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Конкурсная комиссия НИРС по разделу__________ </w:t>
      </w:r>
    </w:p>
    <w:p w14:paraId="2FEDCDC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утверждена приказом ректора вуза от__________________ года </w:t>
      </w:r>
    </w:p>
    <w:p w14:paraId="50FB1E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№__________ в количестве_______________ человек. </w:t>
      </w:r>
    </w:p>
    <w:p w14:paraId="4CD4000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заседании комиссии присутствовали__________ человек. </w:t>
      </w:r>
    </w:p>
    <w:p w14:paraId="3F26CF8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B3A70B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C12D79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конкурс НИРС_____ года по разделу _______________ </w:t>
      </w:r>
    </w:p>
    <w:p w14:paraId="79E50EF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поступило__________ работ ( __________студентов,_______ научных </w:t>
      </w:r>
    </w:p>
    <w:p w14:paraId="637C47F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руководителей) </w:t>
      </w:r>
    </w:p>
    <w:p w14:paraId="01612D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D32273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1E0A82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Рассмотрев научные работы студентов, конкурсная комиссия вуза </w:t>
      </w:r>
    </w:p>
    <w:p w14:paraId="12A0354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решила представить к награждению: </w:t>
      </w:r>
    </w:p>
    <w:p w14:paraId="27283BA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Дипломами Министерства I степени ___________ работ </w:t>
      </w:r>
    </w:p>
    <w:p w14:paraId="4D85809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Дипломами Министерства II степени___________ работ </w:t>
      </w:r>
    </w:p>
    <w:p w14:paraId="15A2CB3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 Дипломами Министерства III степени__________ работ </w:t>
      </w:r>
    </w:p>
    <w:p w14:paraId="2159E25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 Денежными премиями вузов__________ работ </w:t>
      </w:r>
    </w:p>
    <w:p w14:paraId="1C14AED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B13F80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ECBC18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BA4DDE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04C8DF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Далее приводится перечень работ с указанием автора (авторов), высшего </w:t>
      </w:r>
    </w:p>
    <w:p w14:paraId="63EE908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учебного заведения, научного руководителя. </w:t>
      </w:r>
    </w:p>
    <w:p w14:paraId="6BEA75C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7C973C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B4AA41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E30AC2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D65714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24C0C7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1D9556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22B381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Председатель конкурсной комиссии_______________________ </w:t>
      </w:r>
    </w:p>
    <w:p w14:paraId="5F13111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Секретарь конкурсной комиссии__________________________ </w:t>
      </w:r>
    </w:p>
    <w:p w14:paraId="798441B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Члены комиссии________________________________________ </w:t>
      </w:r>
    </w:p>
    <w:p w14:paraId="55FA685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  <w:sectPr>
          <w:pgSz w:w="11906" w:h="16838"/>
          <w:pgMar w:top="1138" w:right="562" w:bottom="1138" w:left="1699" w:header="706" w:footer="706" w:gutter="0"/>
          <w:paperSrc w:first="7" w:other="7"/>
          <w:cols w:space="708" w:num="1"/>
          <w:docGrid w:linePitch="360" w:charSpace="0"/>
        </w:sectPr>
      </w:pPr>
    </w:p>
    <w:p w14:paraId="61D96AC2">
      <w:pPr>
        <w:spacing w:after="0" w:line="240" w:lineRule="auto"/>
        <w:ind w:firstLine="709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Приложение В </w:t>
      </w:r>
    </w:p>
    <w:p w14:paraId="5EA628B1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6CE182B2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ЗАЯВКА</w:t>
      </w:r>
    </w:p>
    <w:p w14:paraId="04CF470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6B2113E1">
      <w:pPr>
        <w:spacing w:after="0" w:line="240" w:lineRule="auto"/>
        <w:ind w:firstLine="709"/>
        <w:jc w:val="center"/>
        <w:rPr>
          <w:rFonts w:hint="default" w:ascii="Times New Roman" w:hAnsi="Times New Roman" w:eastAsia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на участие во II этапе Республиканского конкурса НИРС, проводимого Университетом «Туран-Астана»</w:t>
      </w:r>
      <w:r>
        <w:rPr>
          <w:rFonts w:hint="default" w:ascii="Times New Roman" w:hAnsi="Times New Roman" w:eastAsia="Times New Roman" w:cs="Times New Roman"/>
          <w:b/>
          <w:bCs/>
          <w:sz w:val="28"/>
          <w:szCs w:val="28"/>
          <w:lang w:val="ru-RU"/>
        </w:rPr>
        <w:t xml:space="preserve"> </w:t>
      </w:r>
    </w:p>
    <w:p w14:paraId="68EC14C5">
      <w:pPr>
        <w:spacing w:after="0" w:line="240" w:lineRule="auto"/>
        <w:ind w:firstLine="709"/>
        <w:jc w:val="center"/>
        <w:rPr>
          <w:rFonts w:hint="default" w:ascii="Times New Roman" w:hAnsi="Times New Roman" w:eastAsia="Times New Roman" w:cs="Times New Roman"/>
          <w:b/>
          <w:bCs/>
          <w:sz w:val="28"/>
          <w:szCs w:val="28"/>
          <w:lang w:val="ru-RU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9"/>
        <w:gridCol w:w="4440"/>
      </w:tblGrid>
      <w:tr w14:paraId="51013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3" w:hRule="atLeast"/>
        </w:trPr>
        <w:tc>
          <w:tcPr>
            <w:tcW w:w="4439" w:type="dxa"/>
          </w:tcPr>
          <w:p w14:paraId="2D6B36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Наименование вуза</w:t>
            </w:r>
          </w:p>
        </w:tc>
        <w:tc>
          <w:tcPr>
            <w:tcW w:w="4440" w:type="dxa"/>
          </w:tcPr>
          <w:p w14:paraId="052755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</w:p>
        </w:tc>
      </w:tr>
      <w:tr w14:paraId="5E11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439" w:type="dxa"/>
          </w:tcPr>
          <w:p w14:paraId="37A403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Город </w:t>
            </w:r>
          </w:p>
        </w:tc>
        <w:tc>
          <w:tcPr>
            <w:tcW w:w="4440" w:type="dxa"/>
          </w:tcPr>
          <w:p w14:paraId="2A3569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</w:p>
        </w:tc>
      </w:tr>
      <w:tr w14:paraId="01EEC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439" w:type="dxa"/>
          </w:tcPr>
          <w:p w14:paraId="55253D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Ф.И.О. студента </w:t>
            </w:r>
          </w:p>
        </w:tc>
        <w:tc>
          <w:tcPr>
            <w:tcW w:w="4440" w:type="dxa"/>
          </w:tcPr>
          <w:p w14:paraId="10B81A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</w:p>
        </w:tc>
      </w:tr>
      <w:tr w14:paraId="4F8F4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</w:trPr>
        <w:tc>
          <w:tcPr>
            <w:tcW w:w="4439" w:type="dxa"/>
          </w:tcPr>
          <w:p w14:paraId="40C78DBE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Контактные данные студента (дом.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адрес, мобильный телефон, </w:t>
            </w:r>
          </w:p>
          <w:p w14:paraId="3F7C9B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e-mail) </w:t>
            </w:r>
          </w:p>
        </w:tc>
        <w:tc>
          <w:tcPr>
            <w:tcW w:w="4440" w:type="dxa"/>
          </w:tcPr>
          <w:p w14:paraId="2A59BC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</w:p>
        </w:tc>
      </w:tr>
      <w:tr w14:paraId="685D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4439" w:type="dxa"/>
          </w:tcPr>
          <w:p w14:paraId="47EDB8D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Образовательная программа, курс </w:t>
            </w:r>
          </w:p>
        </w:tc>
        <w:tc>
          <w:tcPr>
            <w:tcW w:w="4440" w:type="dxa"/>
          </w:tcPr>
          <w:p w14:paraId="05D8C7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</w:p>
        </w:tc>
      </w:tr>
      <w:tr w14:paraId="10455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</w:trPr>
        <w:tc>
          <w:tcPr>
            <w:tcW w:w="4439" w:type="dxa"/>
          </w:tcPr>
          <w:p w14:paraId="77C9F89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Рабочий язык для участия в конкурсе (казахский, русский, английский)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8"/>
                <w:szCs w:val="28"/>
              </w:rPr>
              <w:t xml:space="preserve">указать </w:t>
            </w:r>
          </w:p>
        </w:tc>
        <w:tc>
          <w:tcPr>
            <w:tcW w:w="4440" w:type="dxa"/>
          </w:tcPr>
          <w:p w14:paraId="1A537F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</w:p>
        </w:tc>
      </w:tr>
      <w:tr w14:paraId="73839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</w:trPr>
        <w:tc>
          <w:tcPr>
            <w:tcW w:w="4439" w:type="dxa"/>
          </w:tcPr>
          <w:p w14:paraId="4E1CFD7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Ф.И.О., должность научного руководителя (мобильный телефон, e-mail) </w:t>
            </w:r>
          </w:p>
        </w:tc>
        <w:tc>
          <w:tcPr>
            <w:tcW w:w="4440" w:type="dxa"/>
          </w:tcPr>
          <w:p w14:paraId="493439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5A17C84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7CECB22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5F56B2E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5099373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37BEE0A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1138" w:right="562" w:bottom="1138" w:left="1699" w:header="706" w:footer="706" w:gutter="0"/>
          <w:paperSrc w:first="7" w:other="7"/>
          <w:cols w:space="708" w:num="1"/>
          <w:docGrid w:linePitch="360" w:charSpace="0"/>
        </w:sectPr>
      </w:pPr>
    </w:p>
    <w:p w14:paraId="06828CF0">
      <w:pPr>
        <w:spacing w:after="0" w:line="240" w:lineRule="auto"/>
        <w:ind w:firstLine="709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Приложение Г </w:t>
      </w:r>
    </w:p>
    <w:p w14:paraId="48ACF00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9658191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Аннотация научно-исследовательской работы*</w:t>
      </w:r>
    </w:p>
    <w:p w14:paraId="2628823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Название </w:t>
      </w:r>
    </w:p>
    <w:p w14:paraId="7B18A9C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Государственный рубрикатор научно- технической информации </w:t>
      </w:r>
    </w:p>
    <w:p w14:paraId="7C365F2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 ВУЗ </w:t>
      </w:r>
    </w:p>
    <w:p w14:paraId="4CEC706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 Год завершения работы </w:t>
      </w:r>
    </w:p>
    <w:p w14:paraId="25A0B2D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5. Объем работ: ______с. </w:t>
      </w:r>
    </w:p>
    <w:p w14:paraId="20F9243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6. Количество приложений: _______с. </w:t>
      </w:r>
    </w:p>
    <w:p w14:paraId="10EF2A7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7. Количество иллюстраций: _______с. </w:t>
      </w:r>
    </w:p>
    <w:p w14:paraId="423D2B4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8. Количество таблиц: _______с. </w:t>
      </w:r>
    </w:p>
    <w:p w14:paraId="3FB28CB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9. Количество источников литературы: ________ </w:t>
      </w:r>
    </w:p>
    <w:p w14:paraId="3FCD830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A296E8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Характеристика работы: </w:t>
      </w:r>
    </w:p>
    <w:p w14:paraId="32810A1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1.Цели и задачи научно-исследовательской работы </w:t>
      </w:r>
    </w:p>
    <w:p w14:paraId="1B6D6CF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_______________________________________ </w:t>
      </w:r>
    </w:p>
    <w:p w14:paraId="4FFA6B0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2.Методы проведенных исследований </w:t>
      </w:r>
    </w:p>
    <w:p w14:paraId="54E85B2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______________________________ </w:t>
      </w:r>
    </w:p>
    <w:p w14:paraId="70FD09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3.Основные результаты научного исследования (научные, практические) </w:t>
      </w:r>
    </w:p>
    <w:p w14:paraId="3DFE8DC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66857D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4.Наличие документов об использовании научных результатов (да, нет) </w:t>
      </w:r>
    </w:p>
    <w:p w14:paraId="5BFF671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</w:p>
    <w:p w14:paraId="7EB378B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E00210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2F1C45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CABCE7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7D260E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8F2532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A28BAE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710907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021D05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Подписи авторов </w:t>
      </w:r>
    </w:p>
    <w:p w14:paraId="16D9483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 объем аннотации 200-300 слов</w:t>
      </w:r>
    </w:p>
    <w:p w14:paraId="373FD2F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1138" w:right="562" w:bottom="1138" w:left="1699" w:header="706" w:footer="706" w:gutter="0"/>
          <w:paperSrc w:first="7" w:other="7"/>
          <w:cols w:space="708" w:num="1"/>
          <w:docGrid w:linePitch="360" w:charSpace="0"/>
        </w:sectPr>
      </w:pPr>
    </w:p>
    <w:p w14:paraId="7A6E1C89">
      <w:pPr>
        <w:spacing w:after="0" w:line="240" w:lineRule="auto"/>
        <w:ind w:firstLine="709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Приложение Д </w:t>
      </w:r>
    </w:p>
    <w:p w14:paraId="00100FE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6D49AA9A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Требования к содержанию и оформлению научно-исследовательской работы</w:t>
      </w:r>
    </w:p>
    <w:p w14:paraId="080C76F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3E22D97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В НАУЧНО-ИССЛЕДОВАТЕЛЬСКОЙ РАБОТЕ ДОЛЖНЫ БЫТЬ ОТРАЖЕНЫ СЛЕДУЮЩИЕ РАЗДЕЛЫ: </w:t>
      </w:r>
    </w:p>
    <w:p w14:paraId="0D7FC47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9FCBBD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Титульный лист </w:t>
      </w:r>
    </w:p>
    <w:p w14:paraId="4FBFD1C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Содержание </w:t>
      </w:r>
    </w:p>
    <w:p w14:paraId="0CDF4D2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 Введение </w:t>
      </w:r>
    </w:p>
    <w:p w14:paraId="6D9FC22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 Основной раздел (включает литературный обзор по теме исследования, методологию написания исследования, анализа результатов, практическую значимость научной работы) </w:t>
      </w:r>
    </w:p>
    <w:p w14:paraId="24E8757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5. Заключение </w:t>
      </w:r>
    </w:p>
    <w:p w14:paraId="04EE1BB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6. Список использованной литературы </w:t>
      </w:r>
    </w:p>
    <w:p w14:paraId="3DAAD12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7. Приложение </w:t>
      </w:r>
    </w:p>
    <w:p w14:paraId="5D27183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FD9D02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ТРЕБОВАНИЯ К ПЕЧАТНОМУ ОФОРМЛЕНИЮ НАУЧНО-ИССЛЕДОВАТЕЛЬСКОЙ РАБОТЫ: </w:t>
      </w:r>
    </w:p>
    <w:p w14:paraId="2213228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Научная работа должна быть отпечатана на компьютере. </w:t>
      </w:r>
    </w:p>
    <w:p w14:paraId="5320CEB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Размер шрифта 14 - Times New Roman, межстрочный интервал – 1. </w:t>
      </w:r>
    </w:p>
    <w:p w14:paraId="2CA7205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 Поля: левая сторона – 3 см, правая сторона – 1 см, верхняя и нижняя сторона - 2 см. абзацный отступ – 1,25 см. </w:t>
      </w:r>
    </w:p>
    <w:p w14:paraId="2291807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 Объем работы не должен превышать 40 страниц, но не менее 25 страниц (без приложений) </w:t>
      </w:r>
    </w:p>
    <w:p w14:paraId="42FAA95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выполнении научной работы необходимо соблюдать равномерную плотность, контрастность и четкость изображения. В работе должны быть четкие, не расплывшиеся линии, буквы, цифры и знаки. </w:t>
      </w:r>
    </w:p>
    <w:p w14:paraId="253FC42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Наименования таких структурных элементов научной работы как «СОДЕРЖАНИЕ», «ВВЕДЕНИЕ», «ЗАКЛЮЧЕНИЕ», «СПИСОК ИСПОЛЬЗОВАННОЙ ЛИТЕРАТУРЫ», «ПРИЛОЖЕНИЯ», а также названия разделов основного текста работы следует печатать заглавными буквами, «жирным» шрифтом в середине строки без точки. </w:t>
      </w:r>
    </w:p>
    <w:p w14:paraId="1A54D99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Заголовки параграфов следует начинать с абзацного отступа и печатать, начиная с прописных букв, «жирным» шрифтом без точки в конце. </w:t>
      </w:r>
    </w:p>
    <w:p w14:paraId="442B81D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Между текстом и заголовками структурных элементов и разделов работы используется так называемая «пустая строка». </w:t>
      </w:r>
    </w:p>
    <w:p w14:paraId="5421F49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Введение, разделы основной части научной работы, заключение, список использованной литературы, приложения начинаются с новой страницы. </w:t>
      </w:r>
    </w:p>
    <w:p w14:paraId="35B147F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Номера страницы проставляют в центре нижней части листа без точки. </w:t>
      </w:r>
    </w:p>
    <w:p w14:paraId="6D233D1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Иллюстрации (чертежи, графики, схемы, диаграммы и т.д.) следует располагать непосредственно после текста, в котором они упоминаются впервые, или на следующей странице. На все иллюстрации должны быть даны ссылки в научной работе. </w:t>
      </w:r>
    </w:p>
    <w:p w14:paraId="7BEAFA6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Иллюстрации должны иметь название, которое помещают под иллюстрацией посередине строки. Иллюстрация обозначается словом «Рисунок». Расстояние между рисунком и текстом определяется одной «пустой строкой». Начертание шрифта у примечания на рисунке – «Times New Roman», кегль 12. </w:t>
      </w:r>
    </w:p>
    <w:p w14:paraId="5CB7886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Таблицы. Таблицу применяют для лучшей наглядности и удобства сравнения. Название таблицы должно отражать ее содержание, быть точным. Название таблицы следует помещать над таблицей слева, без отступа с ее номером через тире. При переносе части таблицы название помещают только над первой частью таблицы, нижнюю горизонтальную черту, ограничивающую таблицу не проводят, над другими частями пишут слово «Продолжение таблицы» и указывают ее номер. Таблицу следует располагать непосредственно после текста, в котором она упоминается впервые, или на следующей странице. На все таблицы должны быть ссылки в научной работе. При ссылке следует писать «таблица» с указанием ее номера. Допускается при необходимости применение меньшего размера шрифта в таблице, чем в тексте, но не менее 10. </w:t>
      </w:r>
    </w:p>
    <w:p w14:paraId="07F8F91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Пример оформления таблицы: </w:t>
      </w:r>
    </w:p>
    <w:p w14:paraId="1B3974A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CE44F6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</w:rPr>
        <w:t>Таблица 1 – Динамика государственных расходов Республики Казахстан (2019–2024 гг.)</w:t>
      </w:r>
    </w:p>
    <w:p w14:paraId="51B7E19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FF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1920"/>
        <w:gridCol w:w="1755"/>
        <w:gridCol w:w="1601"/>
        <w:gridCol w:w="2119"/>
        <w:gridCol w:w="1440"/>
      </w:tblGrid>
      <w:tr w14:paraId="23F1E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" w:type="dxa"/>
          </w:tcPr>
          <w:p w14:paraId="39B80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  <w:t>Год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74705F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  <w:lang w:val="en-US" w:eastAsia="zh-CN"/>
              </w:rPr>
              <w:t>Общие государственные расходы, трлн тг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20B0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  <w:lang w:val="en-US" w:eastAsia="zh-CN"/>
              </w:rPr>
              <w:t>Расходы на социальную сферу, трлн тг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1D61B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  <w:lang w:val="en-US" w:eastAsia="zh-CN"/>
              </w:rPr>
              <w:t>Расходы на образование, трлн тг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65495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  <w:lang w:val="en-US" w:eastAsia="zh-CN"/>
              </w:rPr>
              <w:t>Расходы на здравоохранение, трлн тг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A19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  <w:lang w:val="en-US" w:eastAsia="zh-CN"/>
              </w:rPr>
              <w:t>Доля госрасходов в ВВП, %</w:t>
            </w:r>
          </w:p>
        </w:tc>
      </w:tr>
      <w:tr w14:paraId="41553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865" w:type="dxa"/>
          </w:tcPr>
          <w:p w14:paraId="40074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  <w:t>2019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12F3F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14,2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D6F6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6,8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5786E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2,3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513FA8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1,4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E22C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20,2</w:t>
            </w:r>
          </w:p>
        </w:tc>
      </w:tr>
      <w:tr w14:paraId="3EE33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" w:type="dxa"/>
          </w:tcPr>
          <w:p w14:paraId="230A2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  <w:t>2020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133035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17,1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08EF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8,5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7166F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2,8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03E8A2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2,0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F1C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23,4</w:t>
            </w:r>
          </w:p>
        </w:tc>
      </w:tr>
      <w:tr w14:paraId="180C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" w:type="dxa"/>
          </w:tcPr>
          <w:p w14:paraId="16FFB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  <w:t>2021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107052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18,8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31F9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9,4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653FA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3,1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74EA8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2,3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0B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22,7</w:t>
            </w:r>
          </w:p>
        </w:tc>
      </w:tr>
      <w:tr w14:paraId="1C062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" w:type="dxa"/>
          </w:tcPr>
          <w:p w14:paraId="4D457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  <w:t>2022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6801C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20,4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8348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10,3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55E58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3,5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4FDAB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2,6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4FC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23,1</w:t>
            </w:r>
          </w:p>
        </w:tc>
      </w:tr>
      <w:tr w14:paraId="64953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" w:type="dxa"/>
          </w:tcPr>
          <w:p w14:paraId="15346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  <w:t>2023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6C9FB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22,6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BF226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11,4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590E8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3,9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3CCB5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2,9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323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23,8</w:t>
            </w:r>
          </w:p>
        </w:tc>
      </w:tr>
      <w:tr w14:paraId="0ECE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" w:type="dxa"/>
          </w:tcPr>
          <w:p w14:paraId="72055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  <w:t>2024*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412DB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24,1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DE2B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12,2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09657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4,2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3D733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3,1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0E8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inorHAnsi"/>
                <w:color w:val="0000FF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  <w:t>24,0</w:t>
            </w:r>
          </w:p>
        </w:tc>
      </w:tr>
      <w:tr w14:paraId="773E2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700" w:type="dxa"/>
            <w:gridSpan w:val="6"/>
          </w:tcPr>
          <w:p w14:paraId="72EF6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SimSun" w:cs="Times New Roman"/>
                <w:color w:val="0000FF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Примечание: </w:t>
            </w:r>
            <w:r>
              <w:rPr>
                <w:rFonts w:hint="default" w:ascii="Times New Roman" w:hAnsi="Times New Roman" w:eastAsia="Times New Roman" w:cs="Times New Roman"/>
                <w:color w:val="0000FF"/>
                <w:sz w:val="24"/>
                <w:szCs w:val="24"/>
                <w:lang w:val="ru-RU"/>
              </w:rPr>
              <w:t>источник [1]</w:t>
            </w:r>
          </w:p>
        </w:tc>
      </w:tr>
    </w:tbl>
    <w:p w14:paraId="685DF4BC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FF"/>
          <w:sz w:val="24"/>
          <w:szCs w:val="24"/>
        </w:rPr>
      </w:pPr>
    </w:p>
    <w:sectPr>
      <w:pgSz w:w="11906" w:h="16838"/>
      <w:pgMar w:top="1138" w:right="562" w:bottom="1138" w:left="1699" w:header="706" w:footer="706" w:gutter="0"/>
      <w:paperSrc w:first="7" w:other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45D1FD"/>
    <w:multiLevelType w:val="singleLevel"/>
    <w:tmpl w:val="BE45D1F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D9C56E92"/>
    <w:multiLevelType w:val="singleLevel"/>
    <w:tmpl w:val="D9C56E92"/>
    <w:lvl w:ilvl="0" w:tentative="0">
      <w:start w:val="10"/>
      <w:numFmt w:val="decimal"/>
      <w:suff w:val="space"/>
      <w:lvlText w:val="%1."/>
      <w:lvlJc w:val="left"/>
    </w:lvl>
  </w:abstractNum>
  <w:abstractNum w:abstractNumId="2">
    <w:nsid w:val="20521B30"/>
    <w:multiLevelType w:val="multilevel"/>
    <w:tmpl w:val="20521B3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EC15AC9"/>
    <w:multiLevelType w:val="multilevel"/>
    <w:tmpl w:val="2EC15AC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52944F2C"/>
    <w:multiLevelType w:val="multilevel"/>
    <w:tmpl w:val="52944F2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70A24281"/>
    <w:multiLevelType w:val="multilevel"/>
    <w:tmpl w:val="70A2428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79BD20E8"/>
    <w:multiLevelType w:val="multilevel"/>
    <w:tmpl w:val="79BD20E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235"/>
    <w:rsid w:val="000249CB"/>
    <w:rsid w:val="00026EC2"/>
    <w:rsid w:val="00221340"/>
    <w:rsid w:val="002A7235"/>
    <w:rsid w:val="00321FD7"/>
    <w:rsid w:val="00592EB7"/>
    <w:rsid w:val="005959A5"/>
    <w:rsid w:val="005A1166"/>
    <w:rsid w:val="00623F8E"/>
    <w:rsid w:val="006975BE"/>
    <w:rsid w:val="007C510C"/>
    <w:rsid w:val="009E25A1"/>
    <w:rsid w:val="00AE6EAF"/>
    <w:rsid w:val="00F74D44"/>
    <w:rsid w:val="06BB2D1A"/>
    <w:rsid w:val="0747167F"/>
    <w:rsid w:val="0C345014"/>
    <w:rsid w:val="1C5046FF"/>
    <w:rsid w:val="1FF13AA8"/>
    <w:rsid w:val="45C534FB"/>
    <w:rsid w:val="47AF19AB"/>
    <w:rsid w:val="4B2E2DF5"/>
    <w:rsid w:val="56020926"/>
    <w:rsid w:val="5FFD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eastAsia="en-US" w:bidi="ar-SA"/>
    </w:rPr>
  </w:style>
  <w:style w:type="paragraph" w:styleId="2">
    <w:name w:val="heading 1"/>
    <w:basedOn w:val="1"/>
    <w:link w:val="11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paragraph" w:styleId="3">
    <w:name w:val="heading 2"/>
    <w:basedOn w:val="1"/>
    <w:link w:val="12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4">
    <w:name w:val="heading 3"/>
    <w:basedOn w:val="1"/>
    <w:link w:val="13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Strong"/>
    <w:basedOn w:val="5"/>
    <w:qFormat/>
    <w:uiPriority w:val="22"/>
    <w:rPr>
      <w:b/>
      <w:bCs/>
    </w:rPr>
  </w:style>
  <w:style w:type="paragraph" w:styleId="9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Заголовок 1 Знак"/>
    <w:basedOn w:val="5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customStyle="1" w:styleId="12">
    <w:name w:val="Заголовок 2 Знак"/>
    <w:basedOn w:val="5"/>
    <w:link w:val="3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3">
    <w:name w:val="Заголовок 3 Знак"/>
    <w:basedOn w:val="5"/>
    <w:link w:val="4"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1904</Words>
  <Characters>10859</Characters>
  <Lines>90</Lines>
  <Paragraphs>25</Paragraphs>
  <TotalTime>6</TotalTime>
  <ScaleCrop>false</ScaleCrop>
  <LinksUpToDate>false</LinksUpToDate>
  <CharactersWithSpaces>12738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2026-03-02T10:11:00Z</dcterms:created>
  <dc:creator>Куралай Елшибекова</dc:creator>
  <cp:lastModifiedBy>Chuwi</cp:lastModifiedBy>
  <dcterms:modified xsi:type="dcterms:W3CDTF">2026-03-13T09:07:22Z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9A9EDAF4DB78449BA252F0B758998037_13</vt:lpwstr>
  </property>
</Properties>
</file>